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513655</w:t>
      </w:r>
      <w:bookmarkStart w:id="9" w:name="_GoBack"/>
      <w:bookmarkEnd w:id="9"/>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9</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4"/>
      <w:bookmarkStart w:id="3" w:name="OLE_LINK23"/>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Inter-vendor training collaboration and interoperability for two-sided AI/ML models</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Artificial Intelligence (AI)/Machine Learning (ML) for NR air interface enhancements</w:t>
      </w:r>
      <w:r>
        <w:rPr>
          <w:rFonts w:ascii="Times New Roman" w:hAnsi="Times New Roman"/>
          <w:sz w:val="20"/>
          <w:szCs w:val="20"/>
        </w:rPr>
        <w:t xml:space="preserve"> was approved [1].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71FC8BC">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Inter-vendor training collaboration</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 xml:space="preserve">for two-sided AI/ML models </w:t>
            </w:r>
          </w:p>
          <w:p w14:paraId="7964AD3C">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Fully defined/specified reference model (“Direction C”) with RAN1 scalability study outcome taken into account [RAN4/RAN1] – check-point in RAN#110 upon RAN4 feedback</w:t>
            </w:r>
          </w:p>
          <w:p w14:paraId="2656C7F1">
            <w:pPr>
              <w:pStyle w:val="13"/>
              <w:numPr>
                <w:ilvl w:val="1"/>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A4126D0">
            <w:pPr>
              <w:pStyle w:val="13"/>
              <w:numPr>
                <w:ilvl w:val="0"/>
                <w:numId w:val="4"/>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Specification of standardized dataset format/content plus dataset exchange (“Direction A, sub-option 4-1”) [RAN1/RAN2/RAN3/RAN4] – check-point in RAN#110 upon SA WG feedback</w:t>
            </w:r>
          </w:p>
          <w:p w14:paraId="197FAE04">
            <w:pPr>
              <w:spacing w:after="0"/>
              <w:rPr>
                <w:rFonts w:hint="default" w:ascii="Times New Roman" w:hAnsi="Times New Roman" w:cs="Times New Roman"/>
                <w:bCs/>
                <w:sz w:val="20"/>
                <w:szCs w:val="20"/>
                <w:lang w:val="en-US"/>
              </w:rPr>
            </w:pPr>
            <w:r>
              <w:rPr>
                <w:rFonts w:hint="default" w:ascii="Times New Roman" w:hAnsi="Times New Roman" w:cs="Times New Roman"/>
                <w:b/>
                <w:color w:val="0000FF"/>
                <w:sz w:val="20"/>
                <w:szCs w:val="20"/>
                <w:lang w:val="en-US"/>
              </w:rPr>
              <w:t>Interoperability and RRM requirement</w:t>
            </w:r>
            <w:r>
              <w:rPr>
                <w:rFonts w:hint="default" w:ascii="Times New Roman" w:hAnsi="Times New Roman" w:cs="Times New Roman"/>
                <w:bCs/>
                <w:color w:val="0000FF"/>
                <w:sz w:val="20"/>
                <w:szCs w:val="20"/>
                <w:lang w:val="en-US"/>
              </w:rPr>
              <w:t xml:space="preserve"> </w:t>
            </w:r>
            <w:r>
              <w:rPr>
                <w:rFonts w:hint="default" w:ascii="Times New Roman" w:hAnsi="Times New Roman" w:cs="Times New Roman"/>
                <w:bCs/>
                <w:sz w:val="20"/>
                <w:szCs w:val="20"/>
                <w:lang w:val="en-US"/>
              </w:rPr>
              <w:t>[RAN4]:</w:t>
            </w:r>
          </w:p>
          <w:p w14:paraId="52438B52">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To define the requirement for the encoder, specify the standardized test decoder to guarantee interoperability</w:t>
            </w:r>
          </w:p>
          <w:p w14:paraId="0444A7A7">
            <w:pPr>
              <w:pStyle w:val="13"/>
              <w:numPr>
                <w:ilvl w:val="1"/>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The fully specified test decoder, data set, and corresponding reference encoder in RAN4 to be used for inter-vendor collaboration </w:t>
            </w:r>
          </w:p>
          <w:p w14:paraId="58E0637E">
            <w:pPr>
              <w:pStyle w:val="13"/>
              <w:numPr>
                <w:ilvl w:val="0"/>
                <w:numId w:val="5"/>
              </w:numPr>
              <w:spacing w:after="0"/>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Necessary RRM requirement for specified LCM procedures.</w:t>
            </w:r>
          </w:p>
          <w:p w14:paraId="57F972ED">
            <w:pPr>
              <w:pStyle w:val="13"/>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lang w:val="en-US"/>
              </w:rPr>
              <w:t>NOTE: offline training is assumed for the purpose of this project. Strive to leverage on RAN1’s study on scalable model structure in FS_NR_AIML_Air.</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i</w:t>
      </w:r>
      <w:r>
        <w:rPr>
          <w:rFonts w:hint="eastAsia" w:ascii="Times New Roman" w:hAnsi="Times New Roman"/>
          <w:sz w:val="20"/>
          <w:szCs w:val="20"/>
        </w:rPr>
        <w:t>nter-vendor training collaboration and interoperability for two-sided AI/ML models.</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p w14:paraId="7D9DF941">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inter-vendor training collaboration for two-sided AI/ML models, the target is to fully define/specify </w:t>
      </w:r>
      <w:r>
        <w:rPr>
          <w:rFonts w:hint="default" w:ascii="Times New Roman" w:hAnsi="Times New Roman" w:cs="Times New Roman"/>
          <w:bCs/>
          <w:sz w:val="20"/>
          <w:szCs w:val="20"/>
          <w:lang w:val="en-US"/>
        </w:rPr>
        <w:t>reference model</w:t>
      </w:r>
      <w:r>
        <w:rPr>
          <w:rFonts w:hint="eastAsia" w:ascii="Times New Roman" w:hAnsi="Times New Roman" w:eastAsia="等线"/>
          <w:bCs/>
          <w:iCs/>
          <w:sz w:val="20"/>
          <w:szCs w:val="20"/>
          <w:lang w:val="en-US" w:eastAsia="zh-CN"/>
        </w:rPr>
        <w:t xml:space="preserve">. Direction C refer to fully standardized reference model (structure + parameters). </w:t>
      </w:r>
      <w:r>
        <w:rPr>
          <w:rFonts w:hint="default" w:ascii="Times New Roman" w:hAnsi="Times New Roman" w:cs="Times New Roman"/>
          <w:bCs/>
          <w:sz w:val="20"/>
          <w:szCs w:val="20"/>
          <w:lang w:val="en-US"/>
        </w:rPr>
        <w:t>Direction A, sub-option 3a-1</w:t>
      </w:r>
      <w:r>
        <w:rPr>
          <w:rFonts w:hint="eastAsia" w:ascii="Times New Roman" w:hAnsi="Times New Roman" w:cs="Times New Roman"/>
          <w:bCs/>
          <w:sz w:val="20"/>
          <w:szCs w:val="20"/>
          <w:lang w:val="en-US" w:eastAsia="zh-CN"/>
        </w:rPr>
        <w:t xml:space="preserve"> refer to specification of standardized encoder model structure plus parameter exchange.</w:t>
      </w:r>
    </w:p>
    <w:p w14:paraId="7C24EE4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discussed in our contribution on general aspects, during Rel-19 RAN4 study, for the simulations for checking the feasibility of above testing options for CSI compression and prediction, AI/ML model backbone of CNN is in use. In RAN1 study phase, it was agreed to adopt Transformer as the backbone structure for temporal domain Case 0 in case of take precoding matrix in the spatial-frequency domain in a subband granularity as the input, and the reconstructed precoding matrix in the spatial-frequency as the output. For the discussion on inter-vendor training collaboration, it is proposed to follow RAN1 assumption to use Transformer as the backbone structure.</w:t>
      </w:r>
    </w:p>
    <w:p w14:paraId="7916885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discussion on reference model for inter-vendor training collaboration, it is proposed to use Transformer as the backbone structure.</w:t>
      </w:r>
    </w:p>
    <w:p w14:paraId="5CEAD09B">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the WID, RAN1 scalability study outcome need to be taken into account to define/specify reference model. </w:t>
      </w:r>
      <w:r>
        <w:rPr>
          <w:rFonts w:hint="default" w:ascii="Times New Roman" w:hAnsi="Times New Roman" w:eastAsia="等线"/>
          <w:bCs/>
          <w:iCs/>
          <w:sz w:val="20"/>
          <w:szCs w:val="20"/>
          <w:lang w:val="en-US" w:eastAsia="zh-CN"/>
        </w:rPr>
        <w:t>For the model structure feasibility study of Case 0 with precoding matrix in spatial-frequency domain as input, following alternatives on scaling over token dimension (e.g., number of subbands, number of Tx ports, or combination thereof), feature dimension (e.g., number of Tx ports, number of subbands, or combination thereof), and payload configurations are studied</w:t>
      </w:r>
      <w:r>
        <w:rPr>
          <w:rFonts w:hint="eastAsia" w:ascii="Times New Roman" w:hAnsi="Times New Roman" w:eastAsia="等线"/>
          <w:bCs/>
          <w:iCs/>
          <w:sz w:val="20"/>
          <w:szCs w:val="20"/>
          <w:lang w:val="en-US" w:eastAsia="zh-CN"/>
        </w:rPr>
        <w:t xml:space="preserve"> in RAN1</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 It is proposed to take these aspects into account for RAN4 discussion.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2C9A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AB1DACB">
            <w:pPr>
              <w:spacing w:after="180" w:line="240" w:lineRule="exact"/>
              <w:rPr>
                <w:rFonts w:hint="default" w:ascii="Times New Roman" w:hAnsi="Times New Roman" w:eastAsia="等线" w:cs="Times New Roman"/>
                <w:b/>
                <w:bCs/>
                <w:i w:val="0"/>
                <w:iCs w:val="0"/>
                <w:sz w:val="20"/>
                <w:szCs w:val="20"/>
                <w:vertAlign w:val="baseline"/>
                <w:lang w:val="en-US" w:eastAsia="zh-CN"/>
              </w:rPr>
            </w:pPr>
            <w:r>
              <w:rPr>
                <w:rFonts w:hint="default" w:ascii="Times New Roman" w:hAnsi="Times New Roman" w:eastAsia="等线" w:cs="Times New Roman"/>
                <w:b/>
                <w:bCs/>
                <w:i w:val="0"/>
                <w:iCs w:val="0"/>
                <w:sz w:val="20"/>
                <w:szCs w:val="20"/>
                <w:vertAlign w:val="baseline"/>
                <w:lang w:val="en-US" w:eastAsia="zh-CN"/>
              </w:rPr>
              <w:t>Agreements in RAN1#120 meeting</w:t>
            </w:r>
          </w:p>
          <w:p w14:paraId="6377BFAE">
            <w:pPr>
              <w:ind w:left="0" w:firstLine="0"/>
              <w:rPr>
                <w:rFonts w:hint="default" w:ascii="Times New Roman" w:hAnsi="Times New Roman" w:eastAsia="等线" w:cs="Times New Roman"/>
                <w:i w:val="0"/>
                <w:iCs w:val="0"/>
                <w:sz w:val="20"/>
                <w:szCs w:val="20"/>
                <w:highlight w:val="green"/>
                <w:lang w:eastAsia="zh-CN"/>
              </w:rPr>
            </w:pPr>
            <w:r>
              <w:rPr>
                <w:rFonts w:hint="default" w:ascii="Times New Roman" w:hAnsi="Times New Roman" w:eastAsia="等线" w:cs="Times New Roman"/>
                <w:i w:val="0"/>
                <w:iCs w:val="0"/>
                <w:sz w:val="20"/>
                <w:szCs w:val="20"/>
                <w:highlight w:val="green"/>
                <w:lang w:eastAsia="zh-CN"/>
              </w:rPr>
              <w:t>Agreement</w:t>
            </w:r>
          </w:p>
          <w:p w14:paraId="04017212">
            <w:pPr>
              <w:spacing w:after="160" w:line="276" w:lineRule="auto"/>
              <w:ind w:left="0" w:firstLine="0"/>
              <w:contextualSpacing/>
              <w:rPr>
                <w:rFonts w:hint="default" w:ascii="Times New Roman" w:hAnsi="Times New Roman" w:cs="Times New Roman"/>
                <w:i w:val="0"/>
                <w:iCs w:val="0"/>
                <w:color w:val="0070C0"/>
                <w:sz w:val="20"/>
                <w:szCs w:val="20"/>
              </w:rPr>
            </w:pPr>
            <w:bookmarkStart w:id="8" w:name="_Hlk190955173"/>
            <w:r>
              <w:rPr>
                <w:rFonts w:hint="default" w:ascii="Times New Roman" w:hAnsi="Times New Roman" w:cs="Times New Roman"/>
                <w:i w:val="0"/>
                <w:iCs w:val="0"/>
                <w:color w:val="0070C0"/>
                <w:sz w:val="20"/>
                <w:szCs w:val="20"/>
              </w:rPr>
              <w:t>For model structure scalability study for temporal domain Case 0,</w:t>
            </w:r>
          </w:p>
          <w:p w14:paraId="4681D9AE">
            <w:pPr>
              <w:numPr>
                <w:ilvl w:val="0"/>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For the choice of token dimension and feature dimension,</w:t>
            </w:r>
          </w:p>
          <w:p w14:paraId="7E88CA70">
            <w:pPr>
              <w:numPr>
                <w:ilvl w:val="1"/>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1: Use subband as the token dimension and Tx port as a feature dimension</w:t>
            </w:r>
          </w:p>
          <w:p w14:paraId="60CB2FE9">
            <w:pPr>
              <w:numPr>
                <w:ilvl w:val="2"/>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subbands.</w:t>
            </w:r>
          </w:p>
          <w:p w14:paraId="6DF9D5FC">
            <w:pPr>
              <w:numPr>
                <w:ilvl w:val="1"/>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2: Use Tx port as the token dimension and subband as a feature dimension</w:t>
            </w:r>
          </w:p>
          <w:p w14:paraId="2493044F">
            <w:pPr>
              <w:numPr>
                <w:ilvl w:val="2"/>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Tx ports.</w:t>
            </w:r>
          </w:p>
          <w:p w14:paraId="37190392">
            <w:pPr>
              <w:numPr>
                <w:ilvl w:val="1"/>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Alt 3: Use a fixed-size sub-block of Tx ports and subbands matrix (e.g., n_Tx_ports*m_Subbands) as a token and represent the input as a sequence of tokens.</w:t>
            </w:r>
          </w:p>
          <w:p w14:paraId="55AACCB5">
            <w:pPr>
              <w:numPr>
                <w:ilvl w:val="2"/>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The number of tokens varies with the number of Tx ports and the number of subbands.</w:t>
            </w:r>
          </w:p>
          <w:p w14:paraId="147C1F56">
            <w:pPr>
              <w:numPr>
                <w:ilvl w:val="0"/>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For scalability over </w:t>
            </w:r>
            <w:r>
              <w:rPr>
                <w:rFonts w:hint="default" w:ascii="Times New Roman" w:hAnsi="Times New Roman" w:cs="Times New Roman"/>
                <w:i w:val="0"/>
                <w:iCs w:val="0"/>
                <w:color w:val="0070C0"/>
                <w:sz w:val="20"/>
                <w:szCs w:val="20"/>
                <w:lang w:eastAsia="zh-CN"/>
              </w:rPr>
              <w:t>the feature dimension</w:t>
            </w:r>
            <w:r>
              <w:rPr>
                <w:rFonts w:hint="default" w:ascii="Times New Roman" w:hAnsi="Times New Roman" w:cs="Times New Roman"/>
                <w:i w:val="0"/>
                <w:iCs w:val="0"/>
                <w:sz w:val="20"/>
                <w:szCs w:val="20"/>
                <w:lang w:eastAsia="zh-CN"/>
              </w:rPr>
              <w:t xml:space="preserve">, </w:t>
            </w:r>
          </w:p>
          <w:p w14:paraId="78CAE913">
            <w:pPr>
              <w:numPr>
                <w:ilvl w:val="1"/>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Alt1: specific embedding layer for each </w:t>
            </w:r>
            <w:r>
              <w:rPr>
                <w:rFonts w:hint="default" w:ascii="Times New Roman" w:hAnsi="Times New Roman" w:cs="Times New Roman"/>
                <w:i w:val="0"/>
                <w:iCs w:val="0"/>
                <w:color w:val="0070C0"/>
                <w:sz w:val="20"/>
                <w:szCs w:val="20"/>
                <w:lang w:eastAsia="zh-CN"/>
              </w:rPr>
              <w:t>feature size</w:t>
            </w:r>
          </w:p>
          <w:p w14:paraId="1B5C7F02">
            <w:pPr>
              <w:numPr>
                <w:ilvl w:val="1"/>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Alt2: a common embedding layer with padding </w:t>
            </w:r>
            <w:r>
              <w:rPr>
                <w:rFonts w:hint="default" w:ascii="Times New Roman" w:hAnsi="Times New Roman" w:cs="Times New Roman"/>
                <w:i w:val="0"/>
                <w:iCs w:val="0"/>
                <w:color w:val="0070C0"/>
                <w:sz w:val="20"/>
                <w:szCs w:val="20"/>
                <w:lang w:eastAsia="zh-CN"/>
              </w:rPr>
              <w:t xml:space="preserve">(e.g., zero-padding or other techniques for padding values) </w:t>
            </w:r>
          </w:p>
          <w:p w14:paraId="46812201">
            <w:pPr>
              <w:numPr>
                <w:ilvl w:val="0"/>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For scalability over </w:t>
            </w:r>
            <w:r>
              <w:rPr>
                <w:rFonts w:hint="default" w:ascii="Times New Roman" w:hAnsi="Times New Roman" w:cs="Times New Roman"/>
                <w:i w:val="0"/>
                <w:iCs w:val="0"/>
                <w:color w:val="0070C0"/>
                <w:sz w:val="20"/>
                <w:szCs w:val="20"/>
                <w:lang w:eastAsia="zh-CN"/>
              </w:rPr>
              <w:t>the token dimension</w:t>
            </w:r>
            <w:r>
              <w:rPr>
                <w:rFonts w:hint="default" w:ascii="Times New Roman" w:hAnsi="Times New Roman" w:cs="Times New Roman"/>
                <w:i w:val="0"/>
                <w:iCs w:val="0"/>
                <w:sz w:val="20"/>
                <w:szCs w:val="20"/>
                <w:lang w:eastAsia="zh-CN"/>
              </w:rPr>
              <w:t xml:space="preserve">, </w:t>
            </w:r>
          </w:p>
          <w:p w14:paraId="630255A1">
            <w:pPr>
              <w:numPr>
                <w:ilvl w:val="1"/>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 xml:space="preserve">Alt1: positional embedding specific to each </w:t>
            </w:r>
            <w:r>
              <w:rPr>
                <w:rFonts w:hint="default" w:ascii="Times New Roman" w:hAnsi="Times New Roman" w:cs="Times New Roman"/>
                <w:i w:val="0"/>
                <w:iCs w:val="0"/>
                <w:color w:val="0070C0"/>
                <w:sz w:val="20"/>
                <w:szCs w:val="20"/>
                <w:lang w:eastAsia="zh-CN"/>
              </w:rPr>
              <w:t>token</w:t>
            </w:r>
            <w:r>
              <w:rPr>
                <w:rFonts w:hint="default" w:ascii="Times New Roman" w:hAnsi="Times New Roman" w:cs="Times New Roman"/>
                <w:i w:val="0"/>
                <w:iCs w:val="0"/>
                <w:sz w:val="20"/>
                <w:szCs w:val="20"/>
                <w:lang w:eastAsia="zh-CN"/>
              </w:rPr>
              <w:t xml:space="preserve"> index</w:t>
            </w:r>
          </w:p>
          <w:p w14:paraId="6B9BF673">
            <w:pPr>
              <w:numPr>
                <w:ilvl w:val="2"/>
                <w:numId w:val="6"/>
              </w:numPr>
              <w:spacing w:after="160" w:line="276" w:lineRule="auto"/>
              <w:contextualSpacing/>
              <w:rPr>
                <w:rFonts w:hint="default" w:ascii="Times New Roman" w:hAnsi="Times New Roman" w:cs="Times New Roman"/>
                <w:i w:val="0"/>
                <w:iCs w:val="0"/>
                <w:sz w:val="20"/>
                <w:szCs w:val="20"/>
                <w:lang w:eastAsia="zh-CN"/>
              </w:rPr>
            </w:pPr>
            <m:oMath>
              <m:sSub>
                <m:sSubPr>
                  <m:ctrlPr>
                    <w:rPr>
                      <w:rFonts w:hint="default" w:ascii="Cambria Math" w:hAnsi="Cambria Math" w:cs="Times New Roman"/>
                      <w:i w:val="0"/>
                      <w:iCs w:val="0"/>
                      <w:color w:val="0070C0"/>
                      <w:sz w:val="20"/>
                      <w:szCs w:val="20"/>
                      <w:lang w:eastAsia="zh-CN"/>
                    </w:rPr>
                  </m:ctrlPr>
                </m:sSubPr>
                <m:e>
                  <m:r>
                    <m:rPr>
                      <m:sty m:val="p"/>
                    </m:rPr>
                    <w:rPr>
                      <w:rFonts w:hint="default" w:ascii="Cambria Math" w:hAnsi="Cambria Math" w:cs="Times New Roman"/>
                      <w:color w:val="0070C0"/>
                      <w:sz w:val="20"/>
                      <w:szCs w:val="20"/>
                      <w:lang w:eastAsia="zh-CN"/>
                    </w:rPr>
                    <m:t>N</m:t>
                  </m:r>
                  <m:ctrlPr>
                    <w:rPr>
                      <w:rFonts w:hint="default" w:ascii="Cambria Math" w:hAnsi="Cambria Math" w:cs="Times New Roman"/>
                      <w:i w:val="0"/>
                      <w:iCs w:val="0"/>
                      <w:color w:val="0070C0"/>
                      <w:sz w:val="20"/>
                      <w:szCs w:val="20"/>
                      <w:lang w:eastAsia="zh-CN"/>
                    </w:rPr>
                  </m:ctrlPr>
                </m:e>
                <m:sub>
                  <m:r>
                    <m:rPr>
                      <m:sty m:val="p"/>
                    </m:rPr>
                    <w:rPr>
                      <w:rFonts w:hint="default" w:ascii="Cambria Math" w:hAnsi="Cambria Math" w:cs="Times New Roman"/>
                      <w:color w:val="0070C0"/>
                      <w:sz w:val="20"/>
                      <w:szCs w:val="20"/>
                      <w:lang w:eastAsia="zh-CN"/>
                    </w:rPr>
                    <m:t>token,active</m:t>
                  </m:r>
                  <m:ctrlPr>
                    <w:rPr>
                      <w:rFonts w:hint="default" w:ascii="Cambria Math" w:hAnsi="Cambria Math" w:cs="Times New Roman"/>
                      <w:i w:val="0"/>
                      <w:iCs w:val="0"/>
                      <w:color w:val="0070C0"/>
                      <w:sz w:val="20"/>
                      <w:szCs w:val="20"/>
                      <w:lang w:eastAsia="zh-CN"/>
                    </w:rPr>
                  </m:ctrlPr>
                </m:sub>
              </m:sSub>
            </m:oMath>
            <w:r>
              <w:rPr>
                <w:rFonts w:hint="default" w:ascii="Times New Roman" w:hAnsi="Times New Roman" w:cs="Times New Roman"/>
                <w:i w:val="0"/>
                <w:iCs w:val="0"/>
                <w:sz w:val="20"/>
                <w:szCs w:val="20"/>
                <w:lang w:eastAsia="zh-CN"/>
              </w:rPr>
              <w:t xml:space="preserve"> tokens out of  </w:t>
            </w:r>
            <m:oMath>
              <m:sSub>
                <m:sSubPr>
                  <m:ctrlPr>
                    <w:rPr>
                      <w:rFonts w:hint="default" w:ascii="Cambria Math" w:hAnsi="Cambria Math" w:cs="Times New Roman"/>
                      <w:i w:val="0"/>
                      <w:iCs w:val="0"/>
                      <w:color w:val="0070C0"/>
                      <w:sz w:val="20"/>
                      <w:szCs w:val="20"/>
                      <w:lang w:eastAsia="zh-CN"/>
                    </w:rPr>
                  </m:ctrlPr>
                </m:sSubPr>
                <m:e>
                  <m:r>
                    <m:rPr>
                      <m:sty m:val="p"/>
                    </m:rPr>
                    <w:rPr>
                      <w:rFonts w:hint="default" w:ascii="Cambria Math" w:hAnsi="Cambria Math" w:cs="Times New Roman"/>
                      <w:color w:val="0070C0"/>
                      <w:sz w:val="20"/>
                      <w:szCs w:val="20"/>
                      <w:lang w:eastAsia="zh-CN"/>
                    </w:rPr>
                    <m:t>N</m:t>
                  </m:r>
                  <m:ctrlPr>
                    <w:rPr>
                      <w:rFonts w:hint="default" w:ascii="Cambria Math" w:hAnsi="Cambria Math" w:cs="Times New Roman"/>
                      <w:i w:val="0"/>
                      <w:iCs w:val="0"/>
                      <w:color w:val="0070C0"/>
                      <w:sz w:val="20"/>
                      <w:szCs w:val="20"/>
                      <w:lang w:eastAsia="zh-CN"/>
                    </w:rPr>
                  </m:ctrlPr>
                </m:e>
                <m:sub>
                  <m:r>
                    <m:rPr>
                      <m:sty m:val="p"/>
                    </m:rPr>
                    <w:rPr>
                      <w:rFonts w:hint="default" w:ascii="Cambria Math" w:hAnsi="Cambria Math" w:cs="Times New Roman"/>
                      <w:color w:val="0070C0"/>
                      <w:sz w:val="20"/>
                      <w:szCs w:val="20"/>
                      <w:lang w:eastAsia="zh-CN"/>
                    </w:rPr>
                    <m:t>token</m:t>
                  </m:r>
                  <m:ctrlPr>
                    <w:rPr>
                      <w:rFonts w:hint="default" w:ascii="Cambria Math" w:hAnsi="Cambria Math" w:cs="Times New Roman"/>
                      <w:i w:val="0"/>
                      <w:iCs w:val="0"/>
                      <w:color w:val="0070C0"/>
                      <w:sz w:val="20"/>
                      <w:szCs w:val="20"/>
                      <w:lang w:eastAsia="zh-CN"/>
                    </w:rPr>
                  </m:ctrlPr>
                </m:sub>
              </m:sSub>
            </m:oMath>
            <w:r>
              <w:rPr>
                <w:rFonts w:hint="default" w:ascii="Times New Roman" w:hAnsi="Times New Roman" w:cs="Times New Roman"/>
                <w:i w:val="0"/>
                <w:iCs w:val="0"/>
                <w:color w:val="0070C0"/>
                <w:sz w:val="20"/>
                <w:szCs w:val="20"/>
                <w:lang w:eastAsia="zh-CN"/>
              </w:rPr>
              <w:t xml:space="preserve"> </w:t>
            </w:r>
            <w:r>
              <w:rPr>
                <w:rFonts w:hint="default" w:ascii="Times New Roman" w:hAnsi="Times New Roman" w:cs="Times New Roman"/>
                <w:i w:val="0"/>
                <w:iCs w:val="0"/>
                <w:sz w:val="20"/>
                <w:szCs w:val="20"/>
                <w:lang w:eastAsia="zh-CN"/>
              </w:rPr>
              <w:t>token positions are used as input.</w:t>
            </w:r>
          </w:p>
          <w:p w14:paraId="594A885F">
            <w:pPr>
              <w:numPr>
                <w:ilvl w:val="1"/>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 xml:space="preserve">Alt2: </w:t>
            </w:r>
            <w:r>
              <w:rPr>
                <w:rFonts w:hint="default" w:ascii="Times New Roman" w:hAnsi="Times New Roman" w:eastAsia="宋体" w:cs="Times New Roman"/>
                <w:i w:val="0"/>
                <w:iCs w:val="0"/>
                <w:color w:val="0070C0"/>
                <w:sz w:val="20"/>
                <w:szCs w:val="20"/>
                <w:lang w:eastAsia="zh-CN"/>
              </w:rPr>
              <w:t>P</w:t>
            </w:r>
            <w:r>
              <w:rPr>
                <w:rFonts w:hint="default" w:ascii="Times New Roman" w:hAnsi="Times New Roman" w:cs="Times New Roman"/>
                <w:i w:val="0"/>
                <w:iCs w:val="0"/>
                <w:color w:val="0070C0"/>
                <w:sz w:val="20"/>
                <w:szCs w:val="20"/>
                <w:lang w:eastAsia="zh-CN"/>
              </w:rPr>
              <w:t>adding at the input</w:t>
            </w:r>
          </w:p>
          <w:p w14:paraId="1B5E8240">
            <w:pPr>
              <w:numPr>
                <w:ilvl w:val="0"/>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For scalability over payload configurations,</w:t>
            </w:r>
          </w:p>
          <w:p w14:paraId="13B78DA5">
            <w:pPr>
              <w:numPr>
                <w:ilvl w:val="1"/>
                <w:numId w:val="6"/>
              </w:numPr>
              <w:spacing w:after="160" w:line="276" w:lineRule="auto"/>
              <w:contextualSpacing/>
              <w:rPr>
                <w:rFonts w:hint="default" w:ascii="Times New Roman" w:hAnsi="Times New Roman" w:cs="Times New Roman"/>
                <w:i w:val="0"/>
                <w:iCs w:val="0"/>
                <w:sz w:val="20"/>
                <w:szCs w:val="20"/>
                <w:lang w:eastAsia="zh-CN"/>
              </w:rPr>
            </w:pPr>
            <w:r>
              <w:rPr>
                <w:rFonts w:hint="default" w:ascii="Times New Roman" w:hAnsi="Times New Roman" w:cs="Times New Roman"/>
                <w:i w:val="0"/>
                <w:iCs w:val="0"/>
                <w:sz w:val="20"/>
                <w:szCs w:val="20"/>
                <w:lang w:eastAsia="zh-CN"/>
              </w:rPr>
              <w:t>Alt1: specific output linear layer for each payload configuration</w:t>
            </w:r>
          </w:p>
          <w:p w14:paraId="03C1B5DB">
            <w:pPr>
              <w:numPr>
                <w:ilvl w:val="1"/>
                <w:numId w:val="6"/>
              </w:numPr>
              <w:spacing w:after="160" w:line="276" w:lineRule="auto"/>
              <w:contextualSpacing/>
              <w:rPr>
                <w:rFonts w:hint="default" w:ascii="Times New Roman" w:hAnsi="Times New Roman" w:cs="Times New Roman"/>
                <w:b/>
                <w:bCs/>
                <w:i w:val="0"/>
                <w:iCs w:val="0"/>
                <w:sz w:val="20"/>
                <w:szCs w:val="20"/>
                <w:u w:val="single"/>
                <w:lang w:eastAsia="zh-CN"/>
              </w:rPr>
            </w:pPr>
            <w:r>
              <w:rPr>
                <w:rFonts w:hint="default" w:ascii="Times New Roman" w:hAnsi="Times New Roman" w:cs="Times New Roman"/>
                <w:i w:val="0"/>
                <w:iCs w:val="0"/>
                <w:sz w:val="20"/>
                <w:szCs w:val="20"/>
                <w:lang w:eastAsia="zh-CN"/>
              </w:rPr>
              <w:t>Alt2: truncation/masking of the output linear layer output</w:t>
            </w:r>
          </w:p>
          <w:p w14:paraId="396A4DE7">
            <w:pPr>
              <w:numPr>
                <w:ilvl w:val="1"/>
                <w:numId w:val="6"/>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zh-CN"/>
              </w:rPr>
              <w:t>Alt3: by varying quantization parameters</w:t>
            </w:r>
          </w:p>
          <w:p w14:paraId="3E3B6B5D">
            <w:pPr>
              <w:numPr>
                <w:ilvl w:val="0"/>
                <w:numId w:val="6"/>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ko-KR"/>
              </w:rPr>
              <w:t>Notes</w:t>
            </w:r>
          </w:p>
          <w:p w14:paraId="08929D77">
            <w:pPr>
              <w:numPr>
                <w:ilvl w:val="1"/>
                <w:numId w:val="6"/>
              </w:numPr>
              <w:spacing w:after="160" w:line="276" w:lineRule="auto"/>
              <w:contextualSpacing/>
              <w:rPr>
                <w:rFonts w:hint="default" w:ascii="Times New Roman" w:hAnsi="Times New Roman" w:cs="Times New Roman"/>
                <w:b/>
                <w:bCs/>
                <w:i w:val="0"/>
                <w:iCs w:val="0"/>
                <w:color w:val="0070C0"/>
                <w:sz w:val="20"/>
                <w:szCs w:val="20"/>
                <w:u w:val="single"/>
                <w:lang w:eastAsia="zh-CN"/>
              </w:rPr>
            </w:pPr>
            <w:r>
              <w:rPr>
                <w:rFonts w:hint="default" w:ascii="Times New Roman" w:hAnsi="Times New Roman" w:cs="Times New Roman"/>
                <w:i w:val="0"/>
                <w:iCs w:val="0"/>
                <w:color w:val="0070C0"/>
                <w:sz w:val="20"/>
                <w:szCs w:val="20"/>
                <w:lang w:eastAsia="zh-CN"/>
              </w:rPr>
              <w:t>Other Alternatives are not precluded.</w:t>
            </w:r>
          </w:p>
          <w:p w14:paraId="7BAF8710">
            <w:pPr>
              <w:numPr>
                <w:ilvl w:val="1"/>
                <w:numId w:val="6"/>
              </w:numPr>
              <w:spacing w:after="160" w:line="276" w:lineRule="auto"/>
              <w:contextualSpacing/>
              <w:rPr>
                <w:rFonts w:hint="default" w:ascii="Times New Roman" w:hAnsi="Times New Roman" w:cs="Times New Roman"/>
                <w:i w:val="0"/>
                <w:iCs w:val="0"/>
                <w:color w:val="0070C0"/>
                <w:sz w:val="20"/>
                <w:szCs w:val="20"/>
                <w:lang w:eastAsia="zh-CN"/>
              </w:rPr>
            </w:pPr>
            <w:r>
              <w:rPr>
                <w:rFonts w:hint="default" w:ascii="Times New Roman" w:hAnsi="Times New Roman" w:cs="Times New Roman"/>
                <w:i w:val="0"/>
                <w:iCs w:val="0"/>
                <w:color w:val="0070C0"/>
                <w:sz w:val="20"/>
                <w:szCs w:val="20"/>
                <w:lang w:eastAsia="zh-CN"/>
              </w:rPr>
              <w:t>Different Alternatives may be used in combination.</w:t>
            </w:r>
          </w:p>
          <w:p w14:paraId="17DD70CB">
            <w:pPr>
              <w:numPr>
                <w:ilvl w:val="1"/>
                <w:numId w:val="6"/>
              </w:numPr>
              <w:spacing w:after="160" w:line="276" w:lineRule="auto"/>
              <w:contextualSpacing/>
              <w:rPr>
                <w:rFonts w:hint="default" w:ascii="Times New Roman" w:hAnsi="Times New Roman" w:eastAsia="Malgun Gothic" w:cs="Times New Roman"/>
                <w:i w:val="0"/>
                <w:iCs w:val="0"/>
                <w:color w:val="0070C0"/>
                <w:sz w:val="20"/>
                <w:szCs w:val="20"/>
              </w:rPr>
            </w:pPr>
            <w:r>
              <w:rPr>
                <w:rFonts w:hint="default" w:ascii="Times New Roman" w:hAnsi="Times New Roman" w:cs="Times New Roman"/>
                <w:i w:val="0"/>
                <w:iCs w:val="0"/>
                <w:color w:val="0070C0"/>
                <w:sz w:val="20"/>
                <w:szCs w:val="20"/>
                <w:lang w:eastAsia="zh-CN"/>
              </w:rPr>
              <w:t>Same/similar approach is applied at the decoder side.</w:t>
            </w:r>
          </w:p>
          <w:bookmarkEnd w:id="8"/>
          <w:p w14:paraId="253CD884">
            <w:pPr>
              <w:numPr>
                <w:ilvl w:val="0"/>
                <w:numId w:val="6"/>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Evaluations to consider:</w:t>
            </w:r>
          </w:p>
          <w:p w14:paraId="2A4AFF58">
            <w:pPr>
              <w:numPr>
                <w:ilvl w:val="1"/>
                <w:numId w:val="6"/>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Case 1 (scalable structure): Scalable model structure described above</w:t>
            </w:r>
          </w:p>
          <w:p w14:paraId="1A32A013">
            <w:pPr>
              <w:numPr>
                <w:ilvl w:val="2"/>
                <w:numId w:val="6"/>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Using model structure</w:t>
            </w:r>
            <w:r>
              <w:rPr>
                <w:rFonts w:hint="default" w:ascii="Times New Roman" w:hAnsi="Times New Roman" w:eastAsia="等线" w:cs="Times New Roman"/>
                <w:i w:val="0"/>
                <w:iCs w:val="0"/>
                <w:color w:val="0070C0"/>
                <w:sz w:val="20"/>
                <w:szCs w:val="20"/>
                <w:lang w:eastAsia="zh-CN"/>
              </w:rPr>
              <w:t xml:space="preserve"> as indicated in above diagram with fixed hyperparameters</w:t>
            </w:r>
            <w:r>
              <w:rPr>
                <w:rFonts w:hint="default" w:ascii="Times New Roman" w:hAnsi="Times New Roman" w:eastAsia="等线" w:cs="Times New Roman"/>
                <w:i w:val="0"/>
                <w:iCs w:val="0"/>
                <w:color w:val="0070C0"/>
                <w:sz w:val="20"/>
                <w:szCs w:val="20"/>
                <w:lang w:eastAsia="ko-KR"/>
              </w:rPr>
              <w:t>, companies may train a single parameter set or different parameter sets across different {number of Tx ports, CSI feedback payload size, bandwidth}</w:t>
            </w:r>
            <w:r>
              <w:rPr>
                <w:rFonts w:hint="default" w:ascii="Times New Roman" w:hAnsi="Times New Roman" w:eastAsia="等线" w:cs="Times New Roman"/>
                <w:i w:val="0"/>
                <w:iCs w:val="0"/>
                <w:color w:val="0070C0"/>
                <w:sz w:val="20"/>
                <w:szCs w:val="20"/>
                <w:lang w:eastAsia="zh-CN"/>
              </w:rPr>
              <w:t xml:space="preserve"> assuming a common model structure</w:t>
            </w:r>
            <w:r>
              <w:rPr>
                <w:rFonts w:hint="default" w:ascii="Times New Roman" w:hAnsi="Times New Roman" w:eastAsia="等线" w:cs="Times New Roman"/>
                <w:i w:val="0"/>
                <w:iCs w:val="0"/>
                <w:color w:val="0070C0"/>
                <w:sz w:val="20"/>
                <w:szCs w:val="20"/>
                <w:lang w:eastAsia="ko-KR"/>
              </w:rPr>
              <w:t>.</w:t>
            </w:r>
          </w:p>
          <w:p w14:paraId="2333A8DC">
            <w:pPr>
              <w:numPr>
                <w:ilvl w:val="2"/>
                <w:numId w:val="6"/>
              </w:numPr>
              <w:spacing w:after="160" w:line="276" w:lineRule="auto"/>
              <w:contextualSpacing/>
              <w:rPr>
                <w:rFonts w:hint="default" w:ascii="Times New Roman" w:hAnsi="Times New Roman" w:eastAsia="Calibri" w:cs="Times New Roman"/>
                <w:i w:val="0"/>
                <w:iCs w:val="0"/>
                <w:color w:val="0070C0"/>
                <w:sz w:val="20"/>
                <w:szCs w:val="20"/>
                <w:lang w:eastAsia="zh-CN"/>
              </w:rPr>
            </w:pPr>
            <w:r>
              <w:rPr>
                <w:rFonts w:hint="default" w:ascii="Times New Roman" w:hAnsi="Times New Roman" w:eastAsia="等线" w:cs="Times New Roman"/>
                <w:i w:val="0"/>
                <w:iCs w:val="0"/>
                <w:color w:val="0070C0"/>
                <w:sz w:val="20"/>
                <w:szCs w:val="20"/>
                <w:lang w:eastAsia="zh-CN"/>
              </w:rPr>
              <w:t>T</w:t>
            </w:r>
            <w:r>
              <w:rPr>
                <w:rFonts w:hint="default" w:ascii="Times New Roman" w:hAnsi="Times New Roman" w:cs="Times New Roman"/>
                <w:i w:val="0"/>
                <w:iCs w:val="0"/>
                <w:color w:val="0070C0"/>
                <w:sz w:val="20"/>
                <w:szCs w:val="20"/>
                <w:lang w:eastAsia="zh-CN"/>
              </w:rPr>
              <w:t xml:space="preserve">o report whether a single parameter set or different parameter sets were used across different </w:t>
            </w:r>
            <w:r>
              <w:rPr>
                <w:rFonts w:hint="default" w:ascii="Times New Roman" w:hAnsi="Times New Roman" w:eastAsia="等线" w:cs="Times New Roman"/>
                <w:i w:val="0"/>
                <w:iCs w:val="0"/>
                <w:color w:val="0070C0"/>
                <w:sz w:val="20"/>
                <w:szCs w:val="20"/>
                <w:lang w:eastAsia="ko-KR"/>
              </w:rPr>
              <w:t>{number of Tx ports, CSI feedback payload size, bandwidth}</w:t>
            </w:r>
            <w:r>
              <w:rPr>
                <w:rFonts w:hint="default" w:ascii="Times New Roman" w:hAnsi="Times New Roman" w:cs="Times New Roman"/>
                <w:i w:val="0"/>
                <w:iCs w:val="0"/>
                <w:color w:val="0070C0"/>
                <w:sz w:val="20"/>
                <w:szCs w:val="20"/>
                <w:lang w:eastAsia="zh-CN"/>
              </w:rPr>
              <w:t>.</w:t>
            </w:r>
            <w:r>
              <w:rPr>
                <w:rFonts w:hint="default" w:ascii="Times New Roman" w:hAnsi="Times New Roman" w:eastAsia="等线" w:cs="Times New Roman"/>
                <w:i w:val="0"/>
                <w:iCs w:val="0"/>
                <w:color w:val="0070C0"/>
                <w:sz w:val="20"/>
                <w:szCs w:val="20"/>
                <w:lang w:eastAsia="ko-KR"/>
              </w:rPr>
              <w:t xml:space="preserve"> (e.g., single parameter set across different payload sizes and bandwidths, different parameter set across different number of Tx ports)</w:t>
            </w:r>
          </w:p>
          <w:p w14:paraId="0FE1BCFE">
            <w:pPr>
              <w:numPr>
                <w:ilvl w:val="1"/>
                <w:numId w:val="6"/>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Case 2 (dedicated structure): Using model structure</w:t>
            </w:r>
            <w:r>
              <w:rPr>
                <w:rFonts w:hint="default" w:ascii="Times New Roman" w:hAnsi="Times New Roman" w:eastAsia="等线" w:cs="Times New Roman"/>
                <w:i w:val="0"/>
                <w:iCs w:val="0"/>
                <w:color w:val="0070C0"/>
                <w:sz w:val="20"/>
                <w:szCs w:val="20"/>
                <w:lang w:eastAsia="zh-CN"/>
              </w:rPr>
              <w:t xml:space="preserve"> as indicated in above diagram with different hyperparameters</w:t>
            </w:r>
            <w:r>
              <w:rPr>
                <w:rFonts w:hint="default" w:ascii="Times New Roman" w:hAnsi="Times New Roman" w:eastAsia="等线" w:cs="Times New Roman"/>
                <w:i w:val="0"/>
                <w:iCs w:val="0"/>
                <w:color w:val="0070C0"/>
                <w:sz w:val="20"/>
                <w:szCs w:val="20"/>
                <w:lang w:eastAsia="ko-KR"/>
              </w:rPr>
              <w:t xml:space="preserve">, where the input and the output </w:t>
            </w:r>
            <w:r>
              <w:rPr>
                <w:rFonts w:hint="default" w:ascii="Times New Roman" w:hAnsi="Times New Roman" w:eastAsia="等线" w:cs="Times New Roman"/>
                <w:i w:val="0"/>
                <w:iCs w:val="0"/>
                <w:color w:val="0070C0"/>
                <w:sz w:val="20"/>
                <w:szCs w:val="20"/>
                <w:lang w:eastAsia="zh-CN"/>
              </w:rPr>
              <w:t>related hyperparameters</w:t>
            </w:r>
            <w:r>
              <w:rPr>
                <w:rFonts w:hint="default" w:ascii="Times New Roman" w:hAnsi="Times New Roman" w:eastAsia="等线" w:cs="Times New Roman"/>
                <w:i w:val="0"/>
                <w:iCs w:val="0"/>
                <w:color w:val="0070C0"/>
                <w:sz w:val="20"/>
                <w:szCs w:val="20"/>
                <w:lang w:eastAsia="ko-KR"/>
              </w:rPr>
              <w:t xml:space="preserve"> are chosen optimally corresponding to each specific {number of Tx ports, CSI feedback payload size, bandwidth} without scalability considerations.</w:t>
            </w:r>
          </w:p>
          <w:p w14:paraId="621C112C">
            <w:pPr>
              <w:numPr>
                <w:ilvl w:val="2"/>
                <w:numId w:val="6"/>
              </w:numPr>
              <w:spacing w:after="160" w:line="276" w:lineRule="auto"/>
              <w:contextualSpacing/>
              <w:rPr>
                <w:rFonts w:hint="default" w:ascii="Times New Roman" w:hAnsi="Times New Roman" w:eastAsia="等线" w:cs="Times New Roman"/>
                <w:i w:val="0"/>
                <w:iCs w:val="0"/>
                <w:color w:val="0070C0"/>
                <w:sz w:val="20"/>
                <w:szCs w:val="20"/>
                <w:lang w:eastAsia="ko-KR"/>
              </w:rPr>
            </w:pPr>
            <w:r>
              <w:rPr>
                <w:rFonts w:hint="default" w:ascii="Times New Roman" w:hAnsi="Times New Roman" w:eastAsia="等线" w:cs="Times New Roman"/>
                <w:i w:val="0"/>
                <w:iCs w:val="0"/>
                <w:color w:val="0070C0"/>
                <w:sz w:val="20"/>
                <w:szCs w:val="20"/>
                <w:lang w:eastAsia="ko-KR"/>
              </w:rPr>
              <w:t>Different parameter sets are trained across different number of Tx ports, CSI feedback payload sizes, and bandwidths.</w:t>
            </w:r>
          </w:p>
          <w:p w14:paraId="69CBA7F6">
            <w:pPr>
              <w:numPr>
                <w:ilvl w:val="1"/>
                <w:numId w:val="6"/>
              </w:numPr>
              <w:spacing w:after="160" w:line="276" w:lineRule="auto"/>
              <w:contextualSpacing/>
              <w:rPr>
                <w:rFonts w:hint="default" w:ascii="Times New Roman" w:hAnsi="Times New Roman" w:eastAsia="Calibri" w:cs="Times New Roman"/>
                <w:i w:val="0"/>
                <w:iCs w:val="0"/>
                <w:color w:val="0070C0"/>
                <w:sz w:val="20"/>
                <w:szCs w:val="20"/>
                <w:lang w:eastAsia="zh-CN"/>
              </w:rPr>
            </w:pPr>
            <w:r>
              <w:rPr>
                <w:rFonts w:hint="default" w:ascii="Times New Roman" w:hAnsi="Times New Roman" w:eastAsia="等线" w:cs="Times New Roman"/>
                <w:i w:val="0"/>
                <w:iCs w:val="0"/>
                <w:color w:val="0070C0"/>
                <w:sz w:val="20"/>
                <w:szCs w:val="20"/>
                <w:lang w:eastAsia="ko-KR"/>
              </w:rPr>
              <w:t>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w.r.t. Case 2. The average is performed by first calculating the SGCS gain (%) for each {number of Tx ports, CSI feedback payload size, bandwidth} and then averaging the SGCS gain (%) values over {number of Tx ports, CSI feedback payload size, bandwidth}.</w:t>
            </w:r>
          </w:p>
          <w:p w14:paraId="44F7868C">
            <w:pPr>
              <w:ind w:left="0" w:firstLine="0"/>
              <w:rPr>
                <w:rFonts w:hint="default" w:ascii="Times New Roman" w:hAnsi="Times New Roman" w:eastAsia="等线" w:cs="Times New Roman"/>
                <w:i w:val="0"/>
                <w:iCs w:val="0"/>
                <w:sz w:val="20"/>
                <w:szCs w:val="20"/>
                <w:highlight w:val="green"/>
                <w:lang w:eastAsia="zh-CN"/>
              </w:rPr>
            </w:pPr>
            <w:r>
              <w:rPr>
                <w:rFonts w:hint="default" w:ascii="Times New Roman" w:hAnsi="Times New Roman" w:eastAsia="等线" w:cs="Times New Roman"/>
                <w:i w:val="0"/>
                <w:iCs w:val="0"/>
                <w:sz w:val="20"/>
                <w:szCs w:val="20"/>
                <w:highlight w:val="green"/>
                <w:lang w:eastAsia="zh-CN"/>
              </w:rPr>
              <w:t>Agreement</w:t>
            </w:r>
          </w:p>
          <w:p w14:paraId="66F17E33">
            <w:pPr>
              <w:spacing w:after="160" w:line="276" w:lineRule="auto"/>
              <w:ind w:left="0" w:firstLine="0"/>
              <w:contextualSpacing/>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 xml:space="preserve">For model structure scalability study for temporal domain Case 0, for the choice of </w:t>
            </w:r>
            <w:r>
              <w:rPr>
                <w:rFonts w:hint="default" w:ascii="Times New Roman" w:hAnsi="Times New Roman" w:eastAsia="宋体" w:cs="Times New Roman"/>
                <w:i w:val="0"/>
                <w:iCs w:val="0"/>
                <w:sz w:val="20"/>
                <w:szCs w:val="20"/>
                <w:lang w:eastAsia="zh-CN"/>
              </w:rPr>
              <w:t>{number of Tx ports, CSI feedback payload size, bandwidth},</w:t>
            </w:r>
            <w:r>
              <w:rPr>
                <w:rFonts w:hint="default" w:ascii="Times New Roman" w:hAnsi="Times New Roman" w:cs="Times New Roman"/>
                <w:i w:val="0"/>
                <w:iCs w:val="0"/>
                <w:sz w:val="20"/>
                <w:szCs w:val="20"/>
              </w:rPr>
              <w:t xml:space="preserve"> take the following as baseline values.</w:t>
            </w:r>
          </w:p>
          <w:p w14:paraId="59836675">
            <w:pPr>
              <w:numPr>
                <w:ilvl w:val="0"/>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宋体" w:cs="Times New Roman"/>
                <w:i w:val="0"/>
                <w:iCs w:val="0"/>
                <w:sz w:val="20"/>
                <w:szCs w:val="20"/>
                <w:lang w:eastAsia="zh-CN"/>
              </w:rPr>
              <w:t>Number of Tx ports</w:t>
            </w:r>
            <w:r>
              <w:rPr>
                <w:rFonts w:hint="default" w:ascii="Times New Roman" w:hAnsi="Times New Roman" w:cs="Times New Roman"/>
                <w:i w:val="0"/>
                <w:iCs w:val="0"/>
                <w:sz w:val="20"/>
                <w:szCs w:val="20"/>
                <w:lang w:eastAsia="ko-KR"/>
              </w:rPr>
              <w:t xml:space="preserve"> </w:t>
            </w:r>
          </w:p>
          <w:p w14:paraId="20FE80FB">
            <w:pPr>
              <w:numPr>
                <w:ilvl w:val="1"/>
                <w:numId w:val="7"/>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[N1, N2, P] = [2, 8, 2]</w:t>
            </w:r>
            <w:r>
              <w:rPr>
                <w:rFonts w:hint="default" w:ascii="Times New Roman" w:hAnsi="Times New Roman" w:cs="Times New Roman"/>
                <w:i w:val="0"/>
                <w:iCs w:val="0"/>
                <w:sz w:val="20"/>
                <w:szCs w:val="20"/>
                <w:lang w:val="fr-FR" w:eastAsia="ko-KR"/>
              </w:rPr>
              <w:t xml:space="preserve"> (32 CSI-RS ports)</w:t>
            </w:r>
          </w:p>
          <w:p w14:paraId="5EA6D4EE">
            <w:pPr>
              <w:numPr>
                <w:ilvl w:val="1"/>
                <w:numId w:val="7"/>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[N1, N2, P] = [4,4,2]</w:t>
            </w:r>
            <w:r>
              <w:rPr>
                <w:rFonts w:hint="default" w:ascii="Times New Roman" w:hAnsi="Times New Roman" w:cs="Times New Roman"/>
                <w:i w:val="0"/>
                <w:iCs w:val="0"/>
                <w:sz w:val="20"/>
                <w:szCs w:val="20"/>
                <w:lang w:val="fr-FR" w:eastAsia="ko-KR"/>
              </w:rPr>
              <w:t xml:space="preserve"> (32 CSI-RS ports)</w:t>
            </w:r>
          </w:p>
          <w:p w14:paraId="41438DB2">
            <w:pPr>
              <w:numPr>
                <w:ilvl w:val="1"/>
                <w:numId w:val="7"/>
              </w:numPr>
              <w:spacing w:after="160" w:line="276" w:lineRule="auto"/>
              <w:contextualSpacing/>
              <w:rPr>
                <w:rFonts w:hint="default" w:ascii="Times New Roman" w:hAnsi="Times New Roman" w:eastAsia="等线" w:cs="Times New Roman"/>
                <w:i w:val="0"/>
                <w:iCs w:val="0"/>
                <w:sz w:val="20"/>
                <w:szCs w:val="20"/>
                <w:lang w:val="fr-FR" w:eastAsia="ko-KR"/>
              </w:rPr>
            </w:pPr>
            <w:r>
              <w:rPr>
                <w:rFonts w:hint="default" w:ascii="Times New Roman" w:hAnsi="Times New Roman" w:cs="Times New Roman"/>
                <w:bCs/>
                <w:i w:val="0"/>
                <w:iCs w:val="0"/>
                <w:sz w:val="20"/>
                <w:szCs w:val="20"/>
                <w:lang w:val="fr-FR" w:eastAsia="ko-KR"/>
              </w:rPr>
              <w:t xml:space="preserve">[N1, N2, P] = [2, </w:t>
            </w:r>
            <w:r>
              <w:rPr>
                <w:rFonts w:hint="default" w:ascii="Times New Roman" w:hAnsi="Times New Roman" w:cs="Times New Roman"/>
                <w:i w:val="0"/>
                <w:iCs w:val="0"/>
                <w:sz w:val="20"/>
                <w:szCs w:val="20"/>
                <w:lang w:val="fr-FR" w:eastAsia="ko-KR"/>
              </w:rPr>
              <w:t>4</w:t>
            </w:r>
            <w:r>
              <w:rPr>
                <w:rFonts w:hint="default" w:ascii="Times New Roman" w:hAnsi="Times New Roman" w:cs="Times New Roman"/>
                <w:bCs/>
                <w:i w:val="0"/>
                <w:iCs w:val="0"/>
                <w:sz w:val="20"/>
                <w:szCs w:val="20"/>
                <w:lang w:val="fr-FR" w:eastAsia="ko-KR"/>
              </w:rPr>
              <w:t>, 2]</w:t>
            </w:r>
            <w:r>
              <w:rPr>
                <w:rFonts w:hint="default" w:ascii="Times New Roman" w:hAnsi="Times New Roman" w:cs="Times New Roman"/>
                <w:i w:val="0"/>
                <w:iCs w:val="0"/>
                <w:sz w:val="20"/>
                <w:szCs w:val="20"/>
                <w:lang w:val="fr-FR" w:eastAsia="ko-KR"/>
              </w:rPr>
              <w:t xml:space="preserve"> (16 CSI-RS ports)</w:t>
            </w:r>
          </w:p>
          <w:p w14:paraId="579FBA55">
            <w:pPr>
              <w:numPr>
                <w:ilvl w:val="0"/>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CSI feedback payload size</w:t>
            </w:r>
          </w:p>
          <w:p w14:paraId="25BC3276">
            <w:pPr>
              <w:numPr>
                <w:ilvl w:val="1"/>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Multiple values, encouraged to pick at least one value from each of small, medium, and large payload regions X, Y, and Z.</w:t>
            </w:r>
          </w:p>
          <w:p w14:paraId="3FE89BB4">
            <w:pPr>
              <w:numPr>
                <w:ilvl w:val="0"/>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Bandwidth</w:t>
            </w:r>
            <w:r>
              <w:rPr>
                <w:rFonts w:hint="default" w:ascii="Times New Roman" w:hAnsi="Times New Roman" w:eastAsia="等线" w:cs="Times New Roman"/>
                <w:i w:val="0"/>
                <w:iCs w:val="0"/>
                <w:sz w:val="20"/>
                <w:szCs w:val="20"/>
                <w:lang w:eastAsia="zh-CN"/>
              </w:rPr>
              <w:t xml:space="preserve"> &amp; subband size</w:t>
            </w:r>
          </w:p>
          <w:p w14:paraId="59AA2321">
            <w:pPr>
              <w:numPr>
                <w:ilvl w:val="1"/>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ko-KR"/>
              </w:rPr>
              <w:t>All subbands</w:t>
            </w:r>
          </w:p>
          <w:p w14:paraId="6F12818D">
            <w:pPr>
              <w:numPr>
                <w:ilvl w:val="1"/>
                <w:numId w:val="7"/>
              </w:numPr>
              <w:spacing w:after="160" w:line="276" w:lineRule="auto"/>
              <w:contextualSpacing/>
              <w:rPr>
                <w:rFonts w:hint="default" w:ascii="Times New Roman" w:hAnsi="Times New Roman" w:eastAsia="等线" w:cs="Times New Roman"/>
                <w:i w:val="0"/>
                <w:iCs w:val="0"/>
                <w:sz w:val="20"/>
                <w:szCs w:val="20"/>
                <w:lang w:eastAsia="ko-KR"/>
              </w:rPr>
            </w:pPr>
            <w:r>
              <w:rPr>
                <w:rFonts w:hint="default" w:ascii="Times New Roman" w:hAnsi="Times New Roman" w:eastAsia="等线" w:cs="Times New Roman"/>
                <w:i w:val="0"/>
                <w:iCs w:val="0"/>
                <w:sz w:val="20"/>
                <w:szCs w:val="20"/>
                <w:lang w:eastAsia="zh-CN"/>
              </w:rPr>
              <w:t>A subset of all the subbands.</w:t>
            </w:r>
          </w:p>
          <w:p w14:paraId="6A6E91C2">
            <w:pPr>
              <w:spacing w:after="180" w:line="240" w:lineRule="exact"/>
              <w:rPr>
                <w:rFonts w:hint="default" w:ascii="Times New Roman" w:hAnsi="Times New Roman" w:eastAsia="等线" w:cs="Times New Roman"/>
                <w:b/>
                <w:bCs/>
                <w:i w:val="0"/>
                <w:iCs w:val="0"/>
                <w:sz w:val="20"/>
                <w:szCs w:val="20"/>
                <w:vertAlign w:val="baseline"/>
                <w:lang w:val="en-US" w:eastAsia="zh-CN"/>
              </w:rPr>
            </w:pPr>
          </w:p>
        </w:tc>
      </w:tr>
    </w:tbl>
    <w:p w14:paraId="5834195B">
      <w:pPr>
        <w:spacing w:after="180" w:line="240" w:lineRule="exact"/>
        <w:rPr>
          <w:rFonts w:hint="eastAsia" w:ascii="Times New Roman" w:hAnsi="Times New Roman" w:eastAsia="等线"/>
          <w:b/>
          <w:bCs/>
          <w:i/>
          <w:iCs/>
          <w:sz w:val="20"/>
          <w:szCs w:val="20"/>
          <w:lang w:val="en-US" w:eastAsia="zh-CN"/>
        </w:rPr>
      </w:pPr>
    </w:p>
    <w:p w14:paraId="21374D8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i/>
          <w:iCs/>
          <w:sz w:val="20"/>
          <w:szCs w:val="20"/>
          <w:lang w:val="en-US" w:eastAsia="zh-CN"/>
        </w:rPr>
        <w:t xml:space="preserve">Proposal 2: for scalability, at least token dimension (e.g., number of subbands, number of Tx ports, or combination thereof), feature dimension (e.g., number of Tx ports, number of subbands, or combination thereof), and payload configurations are considered. </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inter-vendor training collaboration and interoperability for two-sided AI/ML models</w:t>
      </w:r>
      <w:r>
        <w:rPr>
          <w:rFonts w:hint="eastAsia" w:ascii="Times New Roman" w:hAnsi="Times New Roman"/>
          <w:sz w:val="20"/>
          <w:szCs w:val="20"/>
        </w:rPr>
        <w:t>. The proposals are:</w:t>
      </w:r>
    </w:p>
    <w:p w14:paraId="1898714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discussion on reference model for inter-vendor training collaboration, it is proposed to use Transformer as the backbone structure.</w:t>
      </w:r>
    </w:p>
    <w:p w14:paraId="1D99939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i/>
          <w:iCs/>
          <w:sz w:val="20"/>
          <w:szCs w:val="20"/>
          <w:lang w:val="en-US" w:eastAsia="zh-CN"/>
        </w:rPr>
        <w:t xml:space="preserve">Proposal 2: for scalability, at least token dimension (e.g., number of subbands, number of Tx ports, or combination thereof), feature dimension (e.g., number of Tx ports, number of subbands, or combination thereof), and payload configurations are considered. </w:t>
      </w:r>
    </w:p>
    <w:p w14:paraId="4C8A7946">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51FD48C">
      <w:pPr>
        <w:pStyle w:val="15"/>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val="en-US" w:eastAsia="zh-CN"/>
        </w:rPr>
        <w:t>RP-251870, New WI: Artificial Intelligence (AI)/Machine Learning (ML) for NR air interface enhancements</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[2]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F5D4836"/>
    <w:multiLevelType w:val="multilevel"/>
    <w:tmpl w:val="2F5D4836"/>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F622A3"/>
    <w:multiLevelType w:val="multilevel"/>
    <w:tmpl w:val="2FF622A3"/>
    <w:lvl w:ilvl="0" w:tentative="0">
      <w:start w:val="0"/>
      <w:numFmt w:val="bullet"/>
      <w:lvlText w:val=""/>
      <w:lvlJc w:val="left"/>
      <w:pPr>
        <w:ind w:left="720" w:hanging="360"/>
      </w:pPr>
      <w:rPr>
        <w:rFonts w:hint="default" w:ascii="Symbol" w:hAnsi="Symbol" w:eastAsia="宋体" w:cs="等线"/>
        <w:color w:val="00000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63644F8"/>
    <w:multiLevelType w:val="multilevel"/>
    <w:tmpl w:val="463644F8"/>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6">
    <w:nsid w:val="580B6417"/>
    <w:multiLevelType w:val="multilevel"/>
    <w:tmpl w:val="580B6417"/>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1"/>
  </w:num>
  <w:num w:numId="4">
    <w:abstractNumId w:val="6"/>
  </w:num>
  <w:num w:numId="5">
    <w:abstractNumId w:val="2"/>
  </w:num>
  <w:num w:numId="6">
    <w:abstractNumId w:val="5"/>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4CB5CD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35463C6"/>
    <w:rsid w:val="14EE202C"/>
    <w:rsid w:val="151A3F0B"/>
    <w:rsid w:val="15685863"/>
    <w:rsid w:val="156D67CC"/>
    <w:rsid w:val="15774DC7"/>
    <w:rsid w:val="158970AB"/>
    <w:rsid w:val="15C5068C"/>
    <w:rsid w:val="16C20D68"/>
    <w:rsid w:val="17EE3251"/>
    <w:rsid w:val="1869036D"/>
    <w:rsid w:val="18C26AAD"/>
    <w:rsid w:val="19D35C0A"/>
    <w:rsid w:val="1A4B52AF"/>
    <w:rsid w:val="1B097409"/>
    <w:rsid w:val="1B8C2C7D"/>
    <w:rsid w:val="1BDE38AF"/>
    <w:rsid w:val="1C79747B"/>
    <w:rsid w:val="1FCC58B7"/>
    <w:rsid w:val="21A25EC1"/>
    <w:rsid w:val="21CD1190"/>
    <w:rsid w:val="22C91E20"/>
    <w:rsid w:val="239448A4"/>
    <w:rsid w:val="245C2C9F"/>
    <w:rsid w:val="24BB4727"/>
    <w:rsid w:val="250671CD"/>
    <w:rsid w:val="25830931"/>
    <w:rsid w:val="259C54CD"/>
    <w:rsid w:val="27BB3844"/>
    <w:rsid w:val="295E6B72"/>
    <w:rsid w:val="30726630"/>
    <w:rsid w:val="308E7578"/>
    <w:rsid w:val="311F0FAA"/>
    <w:rsid w:val="3159659D"/>
    <w:rsid w:val="31C72739"/>
    <w:rsid w:val="32420EA7"/>
    <w:rsid w:val="3295408B"/>
    <w:rsid w:val="36311397"/>
    <w:rsid w:val="36915B95"/>
    <w:rsid w:val="372F00FC"/>
    <w:rsid w:val="397B647A"/>
    <w:rsid w:val="39DC502A"/>
    <w:rsid w:val="3A2D7A1A"/>
    <w:rsid w:val="3A692ADF"/>
    <w:rsid w:val="3A923B26"/>
    <w:rsid w:val="3ACA3C80"/>
    <w:rsid w:val="3ADD5C61"/>
    <w:rsid w:val="3CA05E05"/>
    <w:rsid w:val="3D0535AB"/>
    <w:rsid w:val="3DEB4836"/>
    <w:rsid w:val="3DEF01B7"/>
    <w:rsid w:val="3FB76397"/>
    <w:rsid w:val="402E3A57"/>
    <w:rsid w:val="40905E46"/>
    <w:rsid w:val="41C815FA"/>
    <w:rsid w:val="42863877"/>
    <w:rsid w:val="43FC159A"/>
    <w:rsid w:val="45185DAE"/>
    <w:rsid w:val="4582291E"/>
    <w:rsid w:val="465D5FD1"/>
    <w:rsid w:val="46A636F7"/>
    <w:rsid w:val="47F77D5E"/>
    <w:rsid w:val="4815134F"/>
    <w:rsid w:val="49574F07"/>
    <w:rsid w:val="4B16773E"/>
    <w:rsid w:val="4B525B6F"/>
    <w:rsid w:val="4BF70D1F"/>
    <w:rsid w:val="4C147660"/>
    <w:rsid w:val="4C9C083E"/>
    <w:rsid w:val="4D115B26"/>
    <w:rsid w:val="4D3D03C8"/>
    <w:rsid w:val="4D4D0662"/>
    <w:rsid w:val="4D85114F"/>
    <w:rsid w:val="4F234726"/>
    <w:rsid w:val="519613CC"/>
    <w:rsid w:val="5217567C"/>
    <w:rsid w:val="549E0D64"/>
    <w:rsid w:val="563034C0"/>
    <w:rsid w:val="566930C6"/>
    <w:rsid w:val="57B0086C"/>
    <w:rsid w:val="585844FD"/>
    <w:rsid w:val="5879537F"/>
    <w:rsid w:val="5999038C"/>
    <w:rsid w:val="5A715FC6"/>
    <w:rsid w:val="5AC558FB"/>
    <w:rsid w:val="5AC66592"/>
    <w:rsid w:val="5B2B0B23"/>
    <w:rsid w:val="5CBC141D"/>
    <w:rsid w:val="5D0B4E13"/>
    <w:rsid w:val="5DE0757A"/>
    <w:rsid w:val="5DE63D68"/>
    <w:rsid w:val="5E145FE7"/>
    <w:rsid w:val="5E2B562E"/>
    <w:rsid w:val="5E47553D"/>
    <w:rsid w:val="5E6261E1"/>
    <w:rsid w:val="5ED80E84"/>
    <w:rsid w:val="62A95749"/>
    <w:rsid w:val="62D046AC"/>
    <w:rsid w:val="634877EE"/>
    <w:rsid w:val="644D521F"/>
    <w:rsid w:val="65674A25"/>
    <w:rsid w:val="68CA01FA"/>
    <w:rsid w:val="69567192"/>
    <w:rsid w:val="6A52659E"/>
    <w:rsid w:val="6B870356"/>
    <w:rsid w:val="6BE35B73"/>
    <w:rsid w:val="6C2143D4"/>
    <w:rsid w:val="6CCE4B92"/>
    <w:rsid w:val="6D092287"/>
    <w:rsid w:val="6D205895"/>
    <w:rsid w:val="6D7E0FF0"/>
    <w:rsid w:val="6DF758F9"/>
    <w:rsid w:val="7131202E"/>
    <w:rsid w:val="720D5752"/>
    <w:rsid w:val="731743ED"/>
    <w:rsid w:val="740D27BD"/>
    <w:rsid w:val="74126C56"/>
    <w:rsid w:val="74C23D1D"/>
    <w:rsid w:val="75886832"/>
    <w:rsid w:val="773771F4"/>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 w:type="paragraph" w:customStyle="1" w:styleId="24">
    <w:name w:val="TF"/>
    <w:basedOn w:val="16"/>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